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1D9" w:rsidRPr="008906D3" w:rsidRDefault="00DE41D9" w:rsidP="00DE41D9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  <w:bookmarkStart w:id="0" w:name="_GoBack"/>
      <w:bookmarkEnd w:id="0"/>
    </w:p>
    <w:p w:rsidR="00DE41D9" w:rsidRPr="00F2634A" w:rsidRDefault="00DE41D9" w:rsidP="00DE41D9">
      <w:pPr>
        <w:pStyle w:val="Prrafodelista"/>
        <w:numPr>
          <w:ilvl w:val="0"/>
          <w:numId w:val="1"/>
        </w:numPr>
        <w:spacing w:after="0" w:line="240" w:lineRule="auto"/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F2634A"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Boletín Diario Suplemento del No. 693,</w:t>
      </w:r>
      <w:r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F2634A"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Jueves 18 de Febrero de 2016</w:t>
      </w:r>
    </w:p>
    <w:p w:rsidR="00DE41D9" w:rsidRPr="00F2634A" w:rsidRDefault="00DE41D9" w:rsidP="00DE41D9">
      <w:pPr>
        <w:pStyle w:val="Prrafodelista"/>
        <w:spacing w:after="0" w:line="240" w:lineRule="auto"/>
        <w:ind w:left="360"/>
        <w:rPr>
          <w:rFonts w:ascii="Tahoma" w:hAnsi="Tahoma" w:cs="Tahoma"/>
          <w:b/>
          <w:bCs/>
          <w:color w:val="000000"/>
          <w:sz w:val="20"/>
          <w:szCs w:val="16"/>
          <w:shd w:val="clear" w:color="auto" w:fill="FFFFFF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DE41D9" w:rsidRPr="00F2634A" w:rsidRDefault="00DE41D9" w:rsidP="00DE41D9">
      <w:pPr>
        <w:pStyle w:val="Prrafodelist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hyperlink r:id="rId6" w:history="1">
        <w:r w:rsidRPr="00F2634A">
          <w:rPr>
            <w:rFonts w:ascii="Tahoma" w:hAnsi="Tahoma" w:cs="Tahoma"/>
            <w:b/>
            <w:color w:val="0070C0"/>
            <w:sz w:val="18"/>
            <w:szCs w:val="18"/>
          </w:rPr>
          <w:t>NAC-DGERCGC16-00000082</w:t>
        </w:r>
      </w:hyperlink>
      <w:r w:rsidRPr="00F2634A">
        <w:rPr>
          <w:rFonts w:ascii="Tahoma" w:hAnsi="Tahoma" w:cs="Tahoma"/>
          <w:b/>
          <w:color w:val="0070C0"/>
          <w:sz w:val="18"/>
          <w:szCs w:val="18"/>
        </w:rPr>
        <w:t xml:space="preserve">: </w:t>
      </w:r>
      <w:r w:rsidRPr="00F2634A">
        <w:rPr>
          <w:rFonts w:ascii="Tahoma" w:hAnsi="Tahoma" w:cs="Tahoma"/>
          <w:sz w:val="18"/>
          <w:szCs w:val="18"/>
        </w:rPr>
        <w:t>Refórmese la Resolución No. NAC-DGERCGC15-00003236, publicada en el Registro Oficial No. 665 de 8 de enero de 2016</w:t>
      </w:r>
    </w:p>
    <w:p w:rsidR="00DE41D9" w:rsidRPr="008906D3" w:rsidRDefault="00DE41D9" w:rsidP="00DE41D9">
      <w:pPr>
        <w:shd w:val="clear" w:color="auto" w:fill="FFFFFF"/>
        <w:spacing w:after="0" w:line="240" w:lineRule="auto"/>
        <w:jc w:val="center"/>
        <w:rPr>
          <w:rFonts w:ascii="Tahoma" w:hAnsi="Tahoma" w:cs="Tahoma"/>
          <w:color w:val="000000"/>
          <w:sz w:val="14"/>
          <w:szCs w:val="14"/>
          <w:shd w:val="clear" w:color="auto" w:fill="FFFFFF"/>
        </w:rPr>
      </w:pPr>
    </w:p>
    <w:p w:rsidR="00DE41D9" w:rsidRDefault="00DE41D9" w:rsidP="00DE41D9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14"/>
          <w:szCs w:val="14"/>
          <w:lang w:eastAsia="es-ES"/>
        </w:rPr>
        <w:sectPr w:rsidR="00DE41D9" w:rsidSect="00DE41D9">
          <w:pgSz w:w="11906" w:h="16838"/>
          <w:pgMar w:top="1417" w:right="849" w:bottom="993" w:left="1276" w:header="708" w:footer="708" w:gutter="0"/>
          <w:cols w:space="282"/>
          <w:docGrid w:linePitch="360"/>
        </w:sectPr>
      </w:pPr>
    </w:p>
    <w:p w:rsidR="00DE41D9" w:rsidRPr="008906D3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sz w:val="14"/>
          <w:szCs w:val="14"/>
          <w:lang w:eastAsia="es-ES"/>
        </w:rPr>
      </w:pPr>
    </w:p>
    <w:p w:rsidR="00DE41D9" w:rsidRPr="008906D3" w:rsidRDefault="00DE41D9" w:rsidP="00DE41D9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es-ES"/>
        </w:rPr>
        <w:t>Resuelve: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Reformar la Resolución No. NAC-DGERCGC15-00003236, que expide las normas que establecen las condiciones, plazos y las excepciones para informar la composición societaria, y aprobar el "Anexo de Accionistas, Partícipes, Socios, Miembros de Directorio y Administradores" y su contenido.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Artículo 1. Objeto.-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Reformar la Resolución No. NAC-DGERCGC 15-00003236 publicada en el Registro Oficial No. 665 del 08 de enero de 2016, conforme el siguiente artículo.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Artículo 2.-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Sustitúyase la Disposición Transitoria Segunda, por la siguiente.</w:t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DISPOSICIÓN TRANSITORIA SEGUNDA.-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El contenido de la presente Resolución será aplicable a partir del 01 de febrero del 2017; previo a esta fecha, los sujetos obligados deberán presentar el anexo de acuerdo a lo siguiente:</w:t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1. Sujetos obligados.-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Están obligados a presentar este anexo las sociedades, de conformidad con la definición del artículo 98 de la Ley de Régimen Tributario Interno, las sucursales de sociedades extranjeras residentes en el país y los establecimientos permanentes de sociedades extranjeras no residentes.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2. Información a reportar.-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Los sujetos obligados conforme al numeral anterior, deberán presentar obligatoriamente ante esta Administración Tributaria, a través del "Anexo de Accionistas, Partícipes, Socios, Miembros de Directorio y Administradores", la siguiente información de sus de sus titulares o beneficiarios de derechos representativos de capital, miembros de directorio y administradores, sean personas naturales o sociedades, según corresponda:</w:t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a)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 Nombres y apellidos completos o razón social, número de identificación y número de Registro Único de Contribuyentes (RUC), cuando corresponda.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b)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 Tipo de persona (natural o jurídica), y en el caso de ser persona jurídica extranjera no domiciliada en Ecuador, especificar el tipo de sociedad de que se trate.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c)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 País de domicilio o residencia, dirección, código postal y medios de contacto.</w:t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d)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 En el caso de titulares o beneficiarios de derechos representativos de capital que no tengan domicilio o residencia fiscal en Ecuador, señalar el país o jurisdicción de residencia fiscal.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e)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 Porcentaje de participación correspondiente a cada titular o beneficiario de derechos representativos de capital, según sea el caso.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f)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 Señalamiento respecto de si los titulares o beneficiarios de derechos representativos de capital, miembros de directorio o administradores, de acuerdo a la normativa tributaria ecuatoriana vigente, son o no parte relacionada del sujeto obligado a presentar el Anexo.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Cuando los titulares o beneficiarios de derechos representativos de capital, miembros de directorio o administradores de las sociedades obligadas a presentar el anexo, sean sociedades extranjeras no domiciliadas en el Ecuador, se deberá a su vez consignar la información de éstas, de conformidad con las disposiciones señaladas en este numeral. La información consignada deberá continuar sucesivamente hasta llegar al nivel en el cual se identifiquen a personas naturales nacionales o extranjeras.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En el caso de que los sujetos obligados, tengan a su vez como titulares o beneficiarios de derechos representativos de capital, miembros de directorio o administradores a otras sociedades nacionales, sociedades extranjeras residentes en el país, establecimientos permanentes de sociedades extranjeras no residentes, instituciones del Estado, empresas públicas, estados extranjeros o sus instituciones, o misiones y organismos internacionales reconocidos por el estado ecuatoriano; estos serán considerados como su último nivel de información a presentar.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3. Casos Especiales.-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Se establecen las siguientes disposiciones para casos especiales: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 xml:space="preserve">a) Cuando el sujeto obligado a la presentación del Anexo, sea una 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lastRenderedPageBreak/>
        <w:t>institución de carácter privado sin fines de lucro, exenta del pago de Impuesto a la Renta o una organización que se encuentre bajo el régimen de la Ley Orgánica de la Economía Popular y Solidaria y del Sector Financiero Popular y Solidario, éstas deberán presentar únicamente la información de sus socios fundadores, de sus miembros directivos y de sus administradores.</w:t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b) Cuando el sujeto obligado o cualquiera de sus titulares o beneficiarios de derechos representativos de capital, cotice en todo o en parte, dichos derechos en bolsa de valores, la información reportada de sus titulares o beneficiarios de derechos representativos de capital, corresponderá a la parte de su composición societaria que no se cotice en bolsa de valores. Lo dispuesto también aplicará respecto de los miembros de directorio, administradores del sujeto obligado o de sus titulares o beneficiarios de derechos representativos de capital, según corresponda.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c) Cuando el sujeto obligado sea un fideicomiso, deberá reportar la</w:t>
      </w:r>
      <w:r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 xml:space="preserve"> 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información relativa a sus administradores, constituyentes y beneficiarios.</w:t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d) Cuando el sujeto obligado sea un fondo de inversión o complementario, además del administrador del fondo, deberá reportar la información de aquellos titulares, cuyos derechos representativos de capital superen dos fracciones básicas gravadas con tarifa cero para el cálculo del Impuesto a la Renta de personas naturales, vigente para el ejercicio fiscal informado.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Sin perjuicio de lo señalado, en todos los casos, la información consignada deberá continuar sucesivamente hasta llegar a los niveles señalados en el numeral anterior.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Adicionalmente, el Servicio de Rentas Internas, de conformidad con sus facultades legalmente establecidas, se reserva el derecho a requerir la información complementaria de los citados sujetos pasivos obligados.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4. Excepciones.-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No están obligadas a presentar la información requerida en el anexo: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a) Sucesiones indivisas.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b) Instituciones del Estado, según la definición señalada en la Constitución de la República del Ecuador.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c) Empresas públicas reguladas por la Ley Orgánica de Empresas Públicas.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d) Misiones y Organismos Internacionales reconocidos por el Estado ecuatoriano.</w:t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e) Organizaciones del sector no financiero de la Economía Popular y Solidaria, cuyo capital social sea igual o inferior a dieciocho (18) fracciones básicas gravadas con tarifa cero para el cálculo del Impuesto a la Renta de personas naturales, o que por disposición reglamentaria se encuentren en un régimen abreviado para el cumplimiento de sus deberes formales.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f) Sociedades sujetas a la vigilancia de las Superintendencias de Compañías, Valores y Seguros, de Bancos o de Economía Popular y Solidaria, que se encuentren en proceso de liquidación, en los términos establecidos en la Ley de Compañías, Ley General de Instituciones del Sistema Financiero o Ley Orgánica de la Economía Popular y Solidaria y del Sector Financiero,</w:t>
      </w:r>
      <w:r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 xml:space="preserve"> </w:t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Popular y Solidario, a partir del año siguiente a aquel en que este proceso haya comenzado, y hasta el periodo fiscal siguiente a aquel en que se haya iniciado su reactivación, de haberse producido tal hecho.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u w:val="single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5. Forma de Presentación.-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La información requerida deberá ser presentada mediante el "Anexo de Accionistas, Partícipes, Socios, Miembros de Directorio y Administradores" de conformidad con el formato y las especificaciones contenidas en la Ficha Técnica creada para el efecto, y disponible en la página web: </w:t>
      </w:r>
      <w:hyperlink r:id="rId7" w:history="1">
        <w:r w:rsidRPr="00F64D17">
          <w:rPr>
            <w:rStyle w:val="Hipervnculo"/>
            <w:rFonts w:ascii="Tahoma" w:eastAsia="Times New Roman" w:hAnsi="Tahoma" w:cs="Tahoma"/>
            <w:sz w:val="14"/>
            <w:szCs w:val="14"/>
            <w:shd w:val="clear" w:color="auto" w:fill="FFFFFF"/>
            <w:lang w:eastAsia="es-ES"/>
          </w:rPr>
          <w:t>www.sri.gob.ec</w:t>
        </w:r>
      </w:hyperlink>
      <w:r w:rsidRPr="008906D3">
        <w:rPr>
          <w:rFonts w:ascii="Tahoma" w:eastAsia="Times New Roman" w:hAnsi="Tahoma" w:cs="Tahoma"/>
          <w:color w:val="000000"/>
          <w:sz w:val="14"/>
          <w:szCs w:val="14"/>
          <w:u w:val="single"/>
          <w:shd w:val="clear" w:color="auto" w:fill="FFFFFF"/>
          <w:lang w:eastAsia="es-ES"/>
        </w:rPr>
        <w:t>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El Anexo deberá ser presentado a través de Internet, mediante la opción de "Servicios en Línea", disponible en la mencionada página web.</w:t>
      </w:r>
    </w:p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6. Plazos para la presentación.-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Los sujetos pasivos obligados a reportar la información correspondiente al ejercicio fiscal 2015, deberán presentar el anexo previsto en esta disposición, en el mes de abril de 2016, previo a su declaración de impuesto a la renta de ese ejercicio fiscal y hasta la fecha de vencimiento de dicha declaración, considerando el noveno dígito del Registro Único de Contribuyentes (RUC) del sujeto obligado, según el calendario señalado a continuación:</w:t>
      </w:r>
    </w:p>
    <w:p w:rsidR="00DE41D9" w:rsidRPr="008906D3" w:rsidRDefault="00DE41D9" w:rsidP="00DE41D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9"/>
        <w:gridCol w:w="1418"/>
      </w:tblGrid>
      <w:tr w:rsidR="00DE41D9" w:rsidRPr="00262403" w:rsidTr="00916223">
        <w:trPr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b/>
                <w:bCs/>
                <w:color w:val="000000"/>
                <w:sz w:val="12"/>
                <w:szCs w:val="12"/>
                <w:lang w:eastAsia="es-ES"/>
              </w:rPr>
              <w:t>Noveno dígito del RUC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b/>
                <w:bCs/>
                <w:color w:val="000000"/>
                <w:sz w:val="12"/>
                <w:szCs w:val="12"/>
                <w:lang w:eastAsia="es-ES"/>
              </w:rPr>
              <w:t>Fecha máxima de entrega</w:t>
            </w:r>
          </w:p>
        </w:tc>
      </w:tr>
      <w:tr w:rsidR="00DE41D9" w:rsidRPr="00262403" w:rsidTr="00916223">
        <w:trPr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1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10 de abril</w:t>
            </w:r>
          </w:p>
        </w:tc>
      </w:tr>
      <w:tr w:rsidR="00DE41D9" w:rsidRPr="00262403" w:rsidTr="00916223">
        <w:trPr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2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12 de abril</w:t>
            </w:r>
          </w:p>
        </w:tc>
      </w:tr>
      <w:tr w:rsidR="00DE41D9" w:rsidRPr="00262403" w:rsidTr="00916223">
        <w:trPr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3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14 de abril</w:t>
            </w:r>
          </w:p>
        </w:tc>
      </w:tr>
      <w:tr w:rsidR="00DE41D9" w:rsidRPr="00262403" w:rsidTr="00916223">
        <w:trPr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16 de abril</w:t>
            </w:r>
          </w:p>
        </w:tc>
      </w:tr>
      <w:tr w:rsidR="00DE41D9" w:rsidRPr="00262403" w:rsidTr="00916223">
        <w:trPr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5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18 de abril</w:t>
            </w:r>
          </w:p>
        </w:tc>
      </w:tr>
      <w:tr w:rsidR="00DE41D9" w:rsidRPr="00262403" w:rsidTr="00916223">
        <w:trPr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6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20 de abril</w:t>
            </w:r>
          </w:p>
        </w:tc>
      </w:tr>
      <w:tr w:rsidR="00DE41D9" w:rsidRPr="00262403" w:rsidTr="00916223">
        <w:trPr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7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22 de abril</w:t>
            </w:r>
          </w:p>
        </w:tc>
      </w:tr>
      <w:tr w:rsidR="00DE41D9" w:rsidRPr="00262403" w:rsidTr="00916223">
        <w:trPr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8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24 de abril</w:t>
            </w:r>
          </w:p>
        </w:tc>
      </w:tr>
      <w:tr w:rsidR="00DE41D9" w:rsidRPr="00262403" w:rsidTr="00916223">
        <w:trPr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9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26 de abril</w:t>
            </w:r>
          </w:p>
        </w:tc>
      </w:tr>
      <w:tr w:rsidR="00DE41D9" w:rsidRPr="00262403" w:rsidTr="00916223">
        <w:trPr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28 de abril</w:t>
            </w:r>
          </w:p>
        </w:tc>
      </w:tr>
    </w:tbl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</w:p>
    <w:p w:rsidR="00DE41D9" w:rsidRPr="008906D3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t>No obstante lo dispuesto en el inciso anterior, en el caso de sociedades constituidas o establecidas en el transcurso del ejercicio fiscal, o en los que el sujeto obligado presente cualquier cambio en la composición societaria y demás información prevista en esta disposición, se deberá presentar el anexo en el mes subsiguiente en que se produjo la constitución o el cambio, con corte al último día del período que se informe, de acuerdo al siguiente calendario:</w:t>
      </w:r>
    </w:p>
    <w:p w:rsidR="00DE41D9" w:rsidRPr="008906D3" w:rsidRDefault="00DE41D9" w:rsidP="00DE41D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</w:p>
    <w:tbl>
      <w:tblPr>
        <w:tblW w:w="0" w:type="auto"/>
        <w:jc w:val="center"/>
        <w:tblInd w:w="10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"/>
        <w:gridCol w:w="1969"/>
      </w:tblGrid>
      <w:tr w:rsidR="00DE41D9" w:rsidRPr="00262403" w:rsidTr="00916223">
        <w:trPr>
          <w:jc w:val="center"/>
        </w:trPr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b/>
                <w:bCs/>
                <w:color w:val="000000"/>
                <w:sz w:val="12"/>
                <w:szCs w:val="12"/>
                <w:lang w:eastAsia="es-ES"/>
              </w:rPr>
              <w:t>Noveno dígito del RUC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b/>
                <w:bCs/>
                <w:color w:val="000000"/>
                <w:sz w:val="12"/>
                <w:szCs w:val="12"/>
                <w:lang w:eastAsia="es-ES"/>
              </w:rPr>
              <w:t>Fecha máxima de entrega (Mes subsiguiente al que corresponda la información)</w:t>
            </w:r>
          </w:p>
        </w:tc>
      </w:tr>
      <w:tr w:rsidR="00DE41D9" w:rsidRPr="00262403" w:rsidTr="00916223">
        <w:trPr>
          <w:jc w:val="center"/>
        </w:trPr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1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10</w:t>
            </w:r>
          </w:p>
        </w:tc>
      </w:tr>
      <w:tr w:rsidR="00DE41D9" w:rsidRPr="00262403" w:rsidTr="00916223">
        <w:trPr>
          <w:jc w:val="center"/>
        </w:trPr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2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12</w:t>
            </w:r>
          </w:p>
        </w:tc>
      </w:tr>
      <w:tr w:rsidR="00DE41D9" w:rsidRPr="00262403" w:rsidTr="00916223">
        <w:trPr>
          <w:jc w:val="center"/>
        </w:trPr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3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14</w:t>
            </w:r>
          </w:p>
        </w:tc>
      </w:tr>
      <w:tr w:rsidR="00DE41D9" w:rsidRPr="00262403" w:rsidTr="00916223">
        <w:trPr>
          <w:jc w:val="center"/>
        </w:trPr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4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16</w:t>
            </w:r>
          </w:p>
        </w:tc>
      </w:tr>
      <w:tr w:rsidR="00DE41D9" w:rsidRPr="00262403" w:rsidTr="00916223">
        <w:trPr>
          <w:jc w:val="center"/>
        </w:trPr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5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18</w:t>
            </w:r>
          </w:p>
        </w:tc>
      </w:tr>
      <w:tr w:rsidR="00DE41D9" w:rsidRPr="00262403" w:rsidTr="00916223">
        <w:trPr>
          <w:jc w:val="center"/>
        </w:trPr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6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20</w:t>
            </w:r>
          </w:p>
        </w:tc>
      </w:tr>
      <w:tr w:rsidR="00DE41D9" w:rsidRPr="00262403" w:rsidTr="00916223">
        <w:trPr>
          <w:jc w:val="center"/>
        </w:trPr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7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22</w:t>
            </w:r>
          </w:p>
        </w:tc>
      </w:tr>
      <w:tr w:rsidR="00DE41D9" w:rsidRPr="00262403" w:rsidTr="00916223">
        <w:trPr>
          <w:jc w:val="center"/>
        </w:trPr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8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24</w:t>
            </w:r>
          </w:p>
        </w:tc>
      </w:tr>
      <w:tr w:rsidR="00DE41D9" w:rsidRPr="00262403" w:rsidTr="00916223">
        <w:trPr>
          <w:jc w:val="center"/>
        </w:trPr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9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26</w:t>
            </w:r>
          </w:p>
        </w:tc>
      </w:tr>
      <w:tr w:rsidR="00DE41D9" w:rsidRPr="00262403" w:rsidTr="00916223">
        <w:trPr>
          <w:jc w:val="center"/>
        </w:trPr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0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E41D9" w:rsidRPr="00262403" w:rsidRDefault="00DE41D9" w:rsidP="0091622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</w:pPr>
            <w:r w:rsidRPr="00262403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es-ES"/>
              </w:rPr>
              <w:t>28</w:t>
            </w:r>
          </w:p>
        </w:tc>
      </w:tr>
    </w:tbl>
    <w:p w:rsidR="00DE41D9" w:rsidRDefault="00DE41D9" w:rsidP="00DE41D9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  <w:t>Cuando una fecha de vencimiento coincida con días de descanso obligatorio o feriados, aquella se trasladará al siguiente día hábil. Los feriados locales se deberán considerar con respecto a cada región de acuerdo al domicilio del sujeto pasivo que debe entregar la información.</w:t>
      </w:r>
    </w:p>
    <w:p w:rsidR="00DE41D9" w:rsidRDefault="00DE41D9" w:rsidP="00DE41D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  <w:t>Cuando el sujeto obligado, deba presentar su declaración anticipada de impuesto a la renta, por efectos de terminación de actividades, de escisión o fusión de sociedades antes de la finalización del ejercicio impositivo, deberá presentar este anexo previo a su declaración de impuesto a la renta anticipada.</w:t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  <w:t>Los sujetos pasivos que tengan la obligación de presentar el "Anexo de Accionistas, Partícipes, Socios, Miembros de Directorio y Administradores", que se encuentren omisos o requieran efectuar modificaciones a sus anexos anteriormente presentados, deberán reportar la información según las especificaciones señaladas en la presente disposición.</w:t>
      </w:r>
    </w:p>
    <w:p w:rsidR="00DE41D9" w:rsidRDefault="00DE41D9" w:rsidP="00DE41D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es-ES"/>
        </w:rPr>
        <w:t>7. Falta de presentación o presentación incompleta.-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t>La tarifa de impuesto a la renta aplicable para el sujeto obligado que debiendo reportar la información correspondiente al ejercicio fiscal 2015, de conformidad con esta disposición, no lo haga, o lo haga de forma incompleta, se sujetará a lo siguiente:</w:t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  <w:t>a) Cuando el sujeto obligado no presente el anexo, previo a su declaración de impuesto a la renta del ejercicio fiscal al que corresponda y hasta la fecha de vencimiento de dicha declaración, sin perjuicio de las sanciones respectivas, se considerará como no cumplida su obligación y por lo tanto deberá aplicar la tarifa del 25% a la totalidad de su base imponible para efectos del cálculo del impuesto a la renta del ejercicio fiscal al que corresponda dicha información.</w:t>
      </w:r>
    </w:p>
    <w:p w:rsidR="00DE41D9" w:rsidRDefault="00DE41D9" w:rsidP="00DE41D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  <w:t>b) Cuando el sujeto obligado reporte la información de manera incompleta, aplicará la tarifa del 25% de impuesto a la renta, a la parte de la base imponible que corresponda a la participación no reportada. Sobre el resto aplicará la tarifa correspondiente de acuerdo a las normas generales.</w:t>
      </w:r>
    </w:p>
    <w:p w:rsidR="00DE41D9" w:rsidRDefault="00DE41D9" w:rsidP="00DE41D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  <w:t>Se entenderá que la información de la composición societaria se ha presentado de forma incompleta, cuando la información reportada no permita a la Administración Tributaria, identificar a los titulares o beneficiarios de derechos representativos de capital, su residencia y su participación respecto a la composición societaria, de conformidad con las condiciones establecidas en esta Disposición Transitoria.</w:t>
      </w:r>
    </w:p>
    <w:p w:rsidR="00DE41D9" w:rsidRDefault="00DE41D9" w:rsidP="00DE41D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es-ES"/>
        </w:rPr>
        <w:t>8. Sanciones.-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t>La presentación tardía, la falta de presentación o la presentación inexacta de la información, será sancionada conforme a la normativa tributaria vigente, y no exime al sujeto obligado de la presentación del Anexo, así como del pago de la tarifa del 25% de impuesto a la renta, conforme lo señalado en el numeral anterior."</w:t>
      </w:r>
    </w:p>
    <w:p w:rsidR="00DE41D9" w:rsidRPr="008906D3" w:rsidRDefault="00DE41D9" w:rsidP="00DE41D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8906D3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es-ES"/>
        </w:rPr>
        <w:t>Disposición Final.- </w:t>
      </w:r>
      <w:r w:rsidRPr="008906D3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t>Esta Resolución entrará en vigencia a partir del siguiente día al de su publicación en el Registro Oficial.</w:t>
      </w:r>
    </w:p>
    <w:p w:rsidR="00DE41D9" w:rsidRPr="008906D3" w:rsidRDefault="00DE41D9" w:rsidP="00DE41D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4"/>
          <w:szCs w:val="14"/>
          <w:lang w:eastAsia="es-ES"/>
        </w:rPr>
      </w:pPr>
    </w:p>
    <w:p w:rsidR="00DE41D9" w:rsidRDefault="00DE41D9" w:rsidP="00DE41D9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sectPr w:rsidR="00DE41D9" w:rsidSect="00F2634A">
          <w:type w:val="continuous"/>
          <w:pgSz w:w="11906" w:h="16838"/>
          <w:pgMar w:top="1417" w:right="849" w:bottom="993" w:left="1276" w:header="708" w:footer="708" w:gutter="0"/>
          <w:cols w:num="2" w:space="282"/>
          <w:docGrid w:linePitch="360"/>
        </w:sectPr>
      </w:pPr>
    </w:p>
    <w:p w:rsidR="00DE41D9" w:rsidRPr="008906D3" w:rsidRDefault="00DE41D9" w:rsidP="00DE41D9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</w:pPr>
    </w:p>
    <w:p w:rsidR="00DE41D9" w:rsidRDefault="00DE41D9" w:rsidP="00DE41D9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</w:p>
    <w:p w:rsidR="008E49C1" w:rsidRDefault="00DE41D9"/>
    <w:sectPr w:rsidR="008E4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9.15pt;height:9.15pt" o:bullet="t">
        <v:imagedata r:id="rId1" o:title="BD15059_"/>
      </v:shape>
    </w:pict>
  </w:numPicBullet>
  <w:abstractNum w:abstractNumId="0">
    <w:nsid w:val="33050AD8"/>
    <w:multiLevelType w:val="hybridMultilevel"/>
    <w:tmpl w:val="29A61ACA"/>
    <w:lvl w:ilvl="0" w:tplc="D6D2CE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A853D28"/>
    <w:multiLevelType w:val="hybridMultilevel"/>
    <w:tmpl w:val="C3B6BA7E"/>
    <w:lvl w:ilvl="0" w:tplc="6EDA0E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1D9"/>
    <w:rsid w:val="00323ADC"/>
    <w:rsid w:val="0064604D"/>
    <w:rsid w:val="00DE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1D9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E41D9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DE41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1D9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E41D9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DE41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ri.gob.e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incular('864372'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1822</Words>
  <Characters>10026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</dc:creator>
  <cp:lastModifiedBy>NILO</cp:lastModifiedBy>
  <cp:revision>1</cp:revision>
  <dcterms:created xsi:type="dcterms:W3CDTF">2016-03-21T16:16:00Z</dcterms:created>
  <dcterms:modified xsi:type="dcterms:W3CDTF">2016-03-21T16:17:00Z</dcterms:modified>
</cp:coreProperties>
</file>